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29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jc w:val="center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现场勘查记录</w:t>
      </w:r>
    </w:p>
    <w:p w14:paraId="378610CD">
      <w:pPr>
        <w:jc w:val="center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color w:val="auto"/>
          <w:sz w:val="48"/>
          <w:szCs w:val="48"/>
          <w:highlight w:val="none"/>
        </w:rPr>
        <w:t>项目组任命书</w:t>
      </w:r>
    </w:p>
    <w:p w14:paraId="0938A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" w:right="-56" w:rightChars="-20" w:firstLine="669" w:firstLineChars="239"/>
        <w:textAlignment w:val="auto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根据本机构过程控制手册的工作程序与授权办法，现对开展本项目工作的负责人进行任命及授权。</w:t>
      </w:r>
    </w:p>
    <w:p w14:paraId="77BD952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56" w:rightChars="-20"/>
        <w:textAlignment w:val="auto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任命</w:t>
      </w:r>
    </w:p>
    <w:p w14:paraId="4D1C9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56" w:rightChars="-20" w:firstLine="669" w:firstLineChars="239"/>
        <w:textAlignment w:val="auto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现任命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>马殿金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同志，担任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eastAsia="宋体" w:cs="Times New Roman"/>
          <w:sz w:val="28"/>
          <w:szCs w:val="28"/>
        </w:rPr>
        <w:t xml:space="preserve"> </w:t>
      </w:r>
      <w:r>
        <w:rPr>
          <w:rFonts w:hint="eastAsia" w:ascii="宋体" w:hAnsi="宋体" w:cs="Times New Roman"/>
          <w:sz w:val="28"/>
          <w:szCs w:val="28"/>
          <w:u w:val="single"/>
          <w:lang w:eastAsia="zh-CN"/>
        </w:rPr>
        <w:t>云南嘉竡福科技有限公司核桃酱油系列产品加工建设项目</w:t>
      </w:r>
      <w:r>
        <w:rPr>
          <w:rFonts w:hint="eastAsia" w:ascii="宋体" w:hAnsi="宋体" w:eastAsia="宋体" w:cs="Times New Roman"/>
          <w:sz w:val="28"/>
          <w:szCs w:val="28"/>
          <w:u w:val="single"/>
          <w:lang w:eastAsia="zh-CN"/>
        </w:rPr>
        <w:t>安全</w:t>
      </w:r>
      <w:r>
        <w:rPr>
          <w:rFonts w:hint="eastAsia" w:ascii="宋体" w:hAnsi="宋体" w:cs="Times New Roman"/>
          <w:sz w:val="28"/>
          <w:szCs w:val="28"/>
          <w:u w:val="single"/>
          <w:lang w:val="en-US" w:eastAsia="zh-CN"/>
        </w:rPr>
        <w:t>现状</w:t>
      </w:r>
      <w:r>
        <w:rPr>
          <w:rFonts w:hint="eastAsia" w:ascii="宋体" w:hAnsi="宋体" w:eastAsia="宋体" w:cs="Times New Roman"/>
          <w:sz w:val="28"/>
          <w:szCs w:val="28"/>
          <w:u w:val="single"/>
          <w:lang w:eastAsia="zh-CN"/>
        </w:rPr>
        <w:t>评价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项目组长。</w:t>
      </w:r>
    </w:p>
    <w:p w14:paraId="1F80C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56" w:rightChars="-20" w:firstLine="669" w:firstLineChars="239"/>
        <w:textAlignment w:val="auto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二、项目组长授权范围</w:t>
      </w:r>
    </w:p>
    <w:p w14:paraId="18F34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" w:right="-56" w:rightChars="-20" w:firstLine="669" w:firstLineChars="239"/>
        <w:textAlignment w:val="auto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1.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负责主持该项目小组的组建及工作开展，行使组内人员配置、任务安排、资金使用、设备使用及管理权。</w:t>
      </w:r>
    </w:p>
    <w:p w14:paraId="6CBD3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" w:right="-56" w:rightChars="-20" w:firstLine="669" w:firstLineChars="239"/>
        <w:textAlignment w:val="auto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2.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负责制定项目工作计划，对服务项目作出开展、暂停、终止的意见。涉及重大隐患的及时向机构报告，并提出小组倾向意见。</w:t>
      </w:r>
    </w:p>
    <w:p w14:paraId="4059C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" w:right="-56" w:rightChars="-20" w:firstLine="669" w:firstLineChars="239"/>
        <w:textAlignment w:val="auto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3.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负责安排对项目委托单位的意见交换、咨询、提供对策措施等服务工作。</w:t>
      </w:r>
    </w:p>
    <w:p w14:paraId="0DD59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" w:right="-56" w:rightChars="-20" w:firstLine="669" w:firstLineChars="239"/>
        <w:textAlignment w:val="auto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4.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负责对项目组提交的报告给出总体结论及对策措施与建议。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7"/>
        <w:gridCol w:w="1515"/>
        <w:gridCol w:w="1530"/>
        <w:gridCol w:w="2730"/>
      </w:tblGrid>
      <w:tr w14:paraId="5C19A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944" w:type="dxa"/>
            <w:gridSpan w:val="4"/>
            <w:noWrap w:val="0"/>
            <w:vAlign w:val="top"/>
          </w:tcPr>
          <w:p w14:paraId="5B78D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jc w:val="center"/>
              <w:textAlignment w:val="auto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项目组成员一览表</w:t>
            </w:r>
          </w:p>
        </w:tc>
      </w:tr>
      <w:tr w14:paraId="13B8F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888" w:type="dxa"/>
            <w:noWrap w:val="0"/>
            <w:vAlign w:val="top"/>
          </w:tcPr>
          <w:p w14:paraId="6FE70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jc w:val="center"/>
              <w:textAlignment w:val="auto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专业能力</w:t>
            </w:r>
          </w:p>
        </w:tc>
        <w:tc>
          <w:tcPr>
            <w:tcW w:w="1584" w:type="dxa"/>
            <w:noWrap w:val="0"/>
            <w:vAlign w:val="top"/>
          </w:tcPr>
          <w:p w14:paraId="288EA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jc w:val="center"/>
              <w:textAlignment w:val="auto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599" w:type="dxa"/>
            <w:noWrap w:val="0"/>
            <w:vAlign w:val="top"/>
          </w:tcPr>
          <w:p w14:paraId="76AFF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jc w:val="center"/>
              <w:textAlignment w:val="auto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专业能力</w:t>
            </w:r>
          </w:p>
        </w:tc>
        <w:tc>
          <w:tcPr>
            <w:tcW w:w="2873" w:type="dxa"/>
            <w:noWrap w:val="0"/>
            <w:vAlign w:val="top"/>
          </w:tcPr>
          <w:p w14:paraId="332DC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jc w:val="center"/>
              <w:textAlignment w:val="auto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</w:tr>
      <w:tr w14:paraId="6D25C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888" w:type="dxa"/>
            <w:noWrap w:val="0"/>
            <w:vAlign w:val="center"/>
          </w:tcPr>
          <w:p w14:paraId="43AFA545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电气自动化技术</w:t>
            </w:r>
          </w:p>
        </w:tc>
        <w:tc>
          <w:tcPr>
            <w:tcW w:w="1584" w:type="dxa"/>
            <w:noWrap w:val="0"/>
            <w:vAlign w:val="top"/>
          </w:tcPr>
          <w:p w14:paraId="21BFD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jc w:val="center"/>
              <w:textAlignment w:val="auto"/>
              <w:rPr>
                <w:rFonts w:hint="default" w:ascii="宋体" w:hAnsi="宋体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马殿金</w:t>
            </w:r>
          </w:p>
        </w:tc>
        <w:tc>
          <w:tcPr>
            <w:tcW w:w="1599" w:type="dxa"/>
            <w:noWrap w:val="0"/>
            <w:vAlign w:val="top"/>
          </w:tcPr>
          <w:p w14:paraId="14BD7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873" w:type="dxa"/>
            <w:noWrap w:val="0"/>
            <w:vAlign w:val="top"/>
          </w:tcPr>
          <w:p w14:paraId="490FF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17A58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888" w:type="dxa"/>
            <w:noWrap w:val="0"/>
            <w:vAlign w:val="center"/>
          </w:tcPr>
          <w:p w14:paraId="48D87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化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学工程 </w:t>
            </w:r>
          </w:p>
        </w:tc>
        <w:tc>
          <w:tcPr>
            <w:tcW w:w="1584" w:type="dxa"/>
            <w:noWrap w:val="0"/>
            <w:vAlign w:val="top"/>
          </w:tcPr>
          <w:p w14:paraId="7D1A6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李晓达</w:t>
            </w:r>
          </w:p>
        </w:tc>
        <w:tc>
          <w:tcPr>
            <w:tcW w:w="1599" w:type="dxa"/>
            <w:noWrap w:val="0"/>
            <w:vAlign w:val="top"/>
          </w:tcPr>
          <w:p w14:paraId="0B2D0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873" w:type="dxa"/>
            <w:noWrap w:val="0"/>
            <w:vAlign w:val="top"/>
          </w:tcPr>
          <w:p w14:paraId="76569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1A31E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888" w:type="dxa"/>
            <w:noWrap w:val="0"/>
            <w:vAlign w:val="center"/>
          </w:tcPr>
          <w:p w14:paraId="4A4B8553">
            <w:pPr>
              <w:jc w:val="center"/>
              <w:rPr>
                <w:rFonts w:hint="default" w:ascii="宋体" w:hAnsi="宋体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机械设计制造及其自动化</w:t>
            </w:r>
          </w:p>
        </w:tc>
        <w:tc>
          <w:tcPr>
            <w:tcW w:w="1584" w:type="dxa"/>
            <w:noWrap w:val="0"/>
            <w:vAlign w:val="top"/>
          </w:tcPr>
          <w:p w14:paraId="637CE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陈恭文</w:t>
            </w:r>
          </w:p>
        </w:tc>
        <w:tc>
          <w:tcPr>
            <w:tcW w:w="1599" w:type="dxa"/>
            <w:noWrap w:val="0"/>
            <w:vAlign w:val="top"/>
          </w:tcPr>
          <w:p w14:paraId="5A24E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873" w:type="dxa"/>
            <w:noWrap w:val="0"/>
            <w:vAlign w:val="top"/>
          </w:tcPr>
          <w:p w14:paraId="2484E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25CCA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888" w:type="dxa"/>
            <w:noWrap w:val="0"/>
            <w:vAlign w:val="center"/>
          </w:tcPr>
          <w:p w14:paraId="21B7C6A4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电气自动化技术</w:t>
            </w:r>
          </w:p>
        </w:tc>
        <w:tc>
          <w:tcPr>
            <w:tcW w:w="1584" w:type="dxa"/>
            <w:noWrap w:val="0"/>
            <w:vAlign w:val="top"/>
          </w:tcPr>
          <w:p w14:paraId="76D36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毛卫旭</w:t>
            </w:r>
          </w:p>
        </w:tc>
        <w:tc>
          <w:tcPr>
            <w:tcW w:w="1599" w:type="dxa"/>
            <w:noWrap w:val="0"/>
            <w:vAlign w:val="top"/>
          </w:tcPr>
          <w:p w14:paraId="7C862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873" w:type="dxa"/>
            <w:noWrap w:val="0"/>
            <w:vAlign w:val="top"/>
          </w:tcPr>
          <w:p w14:paraId="76E72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2A62D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888" w:type="dxa"/>
            <w:noWrap w:val="0"/>
            <w:vAlign w:val="center"/>
          </w:tcPr>
          <w:p w14:paraId="10D09928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安全工程</w:t>
            </w:r>
          </w:p>
        </w:tc>
        <w:tc>
          <w:tcPr>
            <w:tcW w:w="1584" w:type="dxa"/>
            <w:noWrap w:val="0"/>
            <w:vAlign w:val="top"/>
          </w:tcPr>
          <w:p w14:paraId="3A4E7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崔巍</w:t>
            </w:r>
          </w:p>
        </w:tc>
        <w:tc>
          <w:tcPr>
            <w:tcW w:w="1599" w:type="dxa"/>
            <w:noWrap w:val="0"/>
            <w:vAlign w:val="top"/>
          </w:tcPr>
          <w:p w14:paraId="6ACF1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873" w:type="dxa"/>
            <w:noWrap w:val="0"/>
            <w:vAlign w:val="top"/>
          </w:tcPr>
          <w:p w14:paraId="4B117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6" w:rightChars="-20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</w:tr>
    </w:tbl>
    <w:p w14:paraId="4989C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56" w:rightChars="-20"/>
        <w:textAlignment w:val="auto"/>
        <w:rPr>
          <w:rFonts w:ascii="宋体" w:hAnsi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>此任命</w:t>
      </w:r>
    </w:p>
    <w:p w14:paraId="6F3AF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56" w:rightChars="-20" w:firstLine="3907" w:firstLineChars="1390"/>
        <w:textAlignment w:val="auto"/>
        <w:rPr>
          <w:rFonts w:hint="eastAsia" w:ascii="宋体" w:hAnsi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 xml:space="preserve">         </w:t>
      </w:r>
    </w:p>
    <w:p w14:paraId="29C5E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56" w:rightChars="-20" w:firstLine="3907" w:firstLineChars="1390"/>
        <w:textAlignment w:val="auto"/>
        <w:rPr>
          <w:rFonts w:hint="eastAsia" w:ascii="宋体" w:hAnsi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 xml:space="preserve">        </w:t>
      </w:r>
      <w:r>
        <w:rPr>
          <w:rFonts w:hint="eastAsia" w:ascii="宋体" w:hAnsi="宋体"/>
          <w:b/>
          <w:color w:val="auto"/>
          <w:sz w:val="28"/>
          <w:szCs w:val="28"/>
          <w:highlight w:val="none"/>
          <w:lang w:val="en-US" w:eastAsia="zh-CN"/>
        </w:rPr>
        <w:t>2026</w:t>
      </w: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 xml:space="preserve"> 年</w:t>
      </w:r>
      <w:r>
        <w:rPr>
          <w:rFonts w:hint="eastAsia" w:ascii="宋体" w:hAnsi="宋体"/>
          <w:b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 xml:space="preserve">月 </w:t>
      </w:r>
      <w:r>
        <w:rPr>
          <w:rFonts w:hint="eastAsia" w:ascii="宋体" w:hAnsi="宋体"/>
          <w:b/>
          <w:color w:val="auto"/>
          <w:sz w:val="28"/>
          <w:szCs w:val="28"/>
          <w:highlight w:val="none"/>
          <w:lang w:val="en-US" w:eastAsia="zh-CN"/>
        </w:rPr>
        <w:t>25</w:t>
      </w: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 xml:space="preserve"> 日</w:t>
      </w:r>
    </w:p>
    <w:p w14:paraId="4B752957">
      <w:pPr>
        <w:pStyle w:val="2"/>
        <w:numPr>
          <w:ilvl w:val="0"/>
          <w:numId w:val="0"/>
        </w:numPr>
        <w:bidi w:val="0"/>
        <w:spacing w:before="0" w:after="0" w:line="240" w:lineRule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公司平面分布</w:t>
      </w:r>
    </w:p>
    <w:p w14:paraId="5435AB50">
      <w:p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该项目位于云南省昭通市鲁甸县砚池街道和悦社区，鲁甸高原特色绿色食品产业园21栋一、二层。整个生产厂房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总平面布置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呈矩形，主、次大门面向东南方向，主要构筑物为钢构生产厂房，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一层厂房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中部设置有安全通道（安全通道≥1.5m），两端各有一道出口，中部主干道与厂外道路相通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BD4B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1" w:hRule="atLeast"/>
        </w:trPr>
        <w:tc>
          <w:tcPr>
            <w:tcW w:w="8522" w:type="dxa"/>
          </w:tcPr>
          <w:p w14:paraId="30E520E4">
            <w:pPr>
              <w:jc w:val="center"/>
              <w:rPr>
                <w:rFonts w:hint="default"/>
                <w:vertAlign w:val="baseline"/>
                <w:lang w:val="en-US"/>
              </w:rPr>
            </w:pP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-3419475</wp:posOffset>
                  </wp:positionV>
                  <wp:extent cx="5380990" cy="3353435"/>
                  <wp:effectExtent l="9525" t="9525" r="19685" b="20320"/>
                  <wp:wrapTopAndBottom/>
                  <wp:docPr id="75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2771" t="14438" r="28303" b="33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0990" cy="33534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B0F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vertAlign w:val="baseline"/>
                <w:lang w:val="en-US" w:eastAsia="zh-CN"/>
              </w:rPr>
              <w:t>生产车间</w:t>
            </w:r>
          </w:p>
        </w:tc>
      </w:tr>
      <w:tr w14:paraId="6DA62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3" w:hRule="atLeast"/>
        </w:trPr>
        <w:tc>
          <w:tcPr>
            <w:tcW w:w="8522" w:type="dxa"/>
          </w:tcPr>
          <w:p w14:paraId="6AF2E452">
            <w:pPr>
              <w:jc w:val="center"/>
              <w:rPr>
                <w:vertAlign w:val="baseline"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140970</wp:posOffset>
                  </wp:positionV>
                  <wp:extent cx="5384800" cy="2908935"/>
                  <wp:effectExtent l="9525" t="9525" r="15875" b="22860"/>
                  <wp:wrapTopAndBottom/>
                  <wp:docPr id="5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1375" t="10086" r="15796" b="22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00" cy="2908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00FF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vertAlign w:val="baseline"/>
                <w:lang w:val="en-US" w:eastAsia="zh-CN"/>
              </w:rPr>
              <w:t>仓库</w:t>
            </w:r>
          </w:p>
        </w:tc>
      </w:tr>
    </w:tbl>
    <w:p w14:paraId="59BBA416">
      <w:pPr>
        <w:bidi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周边环境</w:t>
      </w:r>
    </w:p>
    <w:p w14:paraId="2B242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云南嘉竡福科技有限公司生产厂房，北侧</w:t>
      </w:r>
      <w:r>
        <w:rPr>
          <w:rFonts w:hint="eastAsia"/>
          <w:sz w:val="28"/>
          <w:szCs w:val="28"/>
          <w:lang w:val="en-US" w:eastAsia="zh-CN"/>
        </w:rPr>
        <w:t>为</w:t>
      </w:r>
      <w:r>
        <w:rPr>
          <w:rFonts w:hint="eastAsia"/>
          <w:sz w:val="28"/>
          <w:szCs w:val="28"/>
          <w:lang w:eastAsia="zh-CN"/>
        </w:rPr>
        <w:t>鲁甸县产业园区管委会（</w:t>
      </w:r>
      <w:r>
        <w:rPr>
          <w:rFonts w:hint="eastAsia"/>
          <w:sz w:val="28"/>
          <w:szCs w:val="28"/>
          <w:lang w:val="en-US" w:eastAsia="zh-CN"/>
        </w:rPr>
        <w:t>本项目办公区所在地</w:t>
      </w:r>
      <w:r>
        <w:rPr>
          <w:rFonts w:hint="eastAsia"/>
          <w:sz w:val="28"/>
          <w:szCs w:val="28"/>
          <w:lang w:eastAsia="zh-CN"/>
        </w:rPr>
        <w:t>）、</w:t>
      </w:r>
      <w:r>
        <w:rPr>
          <w:rFonts w:hint="eastAsia"/>
          <w:sz w:val="28"/>
          <w:szCs w:val="28"/>
          <w:lang w:val="en-US" w:eastAsia="zh-CN"/>
        </w:rPr>
        <w:t>浩丰果业和稳升果业；</w:t>
      </w:r>
      <w:r>
        <w:rPr>
          <w:rFonts w:hint="eastAsia"/>
          <w:sz w:val="28"/>
          <w:szCs w:val="28"/>
          <w:lang w:eastAsia="zh-CN"/>
        </w:rPr>
        <w:t>西侧</w:t>
      </w:r>
      <w:r>
        <w:rPr>
          <w:rFonts w:hint="eastAsia"/>
          <w:sz w:val="28"/>
          <w:szCs w:val="28"/>
          <w:lang w:val="en-US" w:eastAsia="zh-CN"/>
        </w:rPr>
        <w:t>为</w:t>
      </w:r>
      <w:r>
        <w:rPr>
          <w:rFonts w:hint="eastAsia"/>
          <w:sz w:val="28"/>
          <w:szCs w:val="28"/>
          <w:lang w:eastAsia="zh-CN"/>
        </w:rPr>
        <w:t>鲁甸</w:t>
      </w:r>
      <w:r>
        <w:rPr>
          <w:rFonts w:hint="eastAsia"/>
          <w:sz w:val="28"/>
          <w:szCs w:val="28"/>
          <w:lang w:val="en-US" w:eastAsia="zh-CN"/>
        </w:rPr>
        <w:t>奇诺威肠衣公司</w:t>
      </w:r>
      <w:r>
        <w:rPr>
          <w:rFonts w:hint="eastAsia"/>
          <w:sz w:val="28"/>
          <w:szCs w:val="28"/>
          <w:lang w:eastAsia="zh-CN"/>
        </w:rPr>
        <w:t>,南侧为</w:t>
      </w:r>
      <w:r>
        <w:rPr>
          <w:rFonts w:hint="eastAsia"/>
          <w:sz w:val="28"/>
          <w:szCs w:val="28"/>
          <w:lang w:val="en-US" w:eastAsia="zh-CN"/>
        </w:rPr>
        <w:t>清香阁食品公司、果甸园酒业公司；</w:t>
      </w:r>
      <w:r>
        <w:rPr>
          <w:rFonts w:hint="eastAsia"/>
          <w:sz w:val="28"/>
          <w:szCs w:val="28"/>
          <w:lang w:eastAsia="zh-CN"/>
        </w:rPr>
        <w:t>东侧为</w:t>
      </w:r>
      <w:r>
        <w:rPr>
          <w:rFonts w:hint="eastAsia"/>
          <w:sz w:val="28"/>
          <w:szCs w:val="28"/>
          <w:lang w:val="en-US" w:eastAsia="zh-CN"/>
        </w:rPr>
        <w:t>只味汇聚绿色食品</w:t>
      </w:r>
      <w:r>
        <w:rPr>
          <w:rFonts w:hint="eastAsia"/>
          <w:sz w:val="28"/>
          <w:szCs w:val="28"/>
          <w:lang w:eastAsia="zh-CN"/>
        </w:rPr>
        <w:t>公司。</w:t>
      </w:r>
      <w:r>
        <w:rPr>
          <w:rFonts w:hint="eastAsia"/>
          <w:sz w:val="28"/>
          <w:szCs w:val="28"/>
          <w:highlight w:val="none"/>
          <w:lang w:val="en-US" w:eastAsia="zh-CN"/>
        </w:rPr>
        <w:t>周边环境位置关系图如下：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BCFE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48C4F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rPr>
                <w:vertAlign w:val="baseline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-4927600</wp:posOffset>
                  </wp:positionV>
                  <wp:extent cx="5269865" cy="5177790"/>
                  <wp:effectExtent l="0" t="0" r="3175" b="3810"/>
                  <wp:wrapTopAndBottom/>
                  <wp:docPr id="2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65" cy="517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65A9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left"/>
        <w:textAlignment w:val="auto"/>
        <w:rPr>
          <w:rFonts w:hint="eastAsia" w:eastAsia="宋体"/>
          <w:sz w:val="28"/>
          <w:szCs w:val="28"/>
          <w:lang w:eastAsia="zh-CN"/>
        </w:rPr>
      </w:pPr>
    </w:p>
    <w:p w14:paraId="1C89A2C3">
      <w:pPr>
        <w:bidi w:val="0"/>
        <w:rPr>
          <w:rFonts w:hint="default" w:ascii="Times New Roman" w:hAnsi="Times New Roman" w:eastAsia="宋体" w:cs="Times New Roman"/>
          <w:kern w:val="2"/>
          <w:sz w:val="28"/>
          <w:szCs w:val="24"/>
          <w:lang w:val="en-US" w:eastAsia="zh-CN" w:bidi="ar-SA"/>
        </w:rPr>
      </w:pPr>
    </w:p>
    <w:p w14:paraId="7D82D497">
      <w:pPr>
        <w:bidi w:val="0"/>
        <w:rPr>
          <w:rFonts w:hint="default"/>
          <w:lang w:val="en-US" w:eastAsia="zh-CN"/>
        </w:rPr>
      </w:pPr>
    </w:p>
    <w:p w14:paraId="43BD5072">
      <w:pPr>
        <w:bidi w:val="0"/>
        <w:rPr>
          <w:rFonts w:hint="default"/>
          <w:lang w:val="en-US" w:eastAsia="zh-CN"/>
        </w:rPr>
      </w:pPr>
    </w:p>
    <w:p w14:paraId="38D23283">
      <w:pPr>
        <w:bidi w:val="0"/>
        <w:jc w:val="left"/>
        <w:rPr>
          <w:rFonts w:hint="default"/>
          <w:lang w:val="en-US" w:eastAsia="zh-CN"/>
        </w:rPr>
      </w:pPr>
    </w:p>
    <w:p w14:paraId="42C4B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/>
        <w:jc w:val="center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昭通市鼎安科技有限公司</w:t>
      </w:r>
    </w:p>
    <w:p w14:paraId="525FA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jc w:val="center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安全生产工程技术服务现场检查整改建议书</w:t>
      </w:r>
    </w:p>
    <w:p w14:paraId="1C9B5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项目(单位):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云南嘉竡福科技</w:t>
      </w:r>
      <w:r>
        <w:rPr>
          <w:rFonts w:hint="eastAsia" w:ascii="宋体" w:hAnsi="宋体" w:eastAsia="宋体" w:cs="宋体"/>
          <w:sz w:val="28"/>
          <w:szCs w:val="28"/>
          <w:u w:val="single"/>
        </w:rPr>
        <w:t>有限公司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项目类型: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>安全现状评价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</w:t>
      </w:r>
    </w:p>
    <w:p w14:paraId="09DF1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法定代</w:t>
      </w:r>
      <w:r>
        <w:rPr>
          <w:rFonts w:hint="eastAsia" w:ascii="宋体" w:hAnsi="宋体" w:eastAsia="宋体" w:cs="宋体"/>
          <w:sz w:val="28"/>
          <w:szCs w:val="28"/>
        </w:rPr>
        <w:t>表人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>龙科章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联系电话：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>15388850957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 w14:paraId="5D4A9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现场负责人：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>马  雄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联系电话：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>15394809867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</w:p>
    <w:p w14:paraId="0CC05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日期: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>202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u w:val="single"/>
        </w:rPr>
        <w:t>.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u w:val="single"/>
        </w:rPr>
        <w:t>.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>25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bookmarkStart w:id="0" w:name="_GoBack"/>
      <w:bookmarkEnd w:id="0"/>
    </w:p>
    <w:p w14:paraId="1C4C7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现场发现的问题及建议:</w:t>
      </w:r>
    </w:p>
    <w:p w14:paraId="0064DA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  <w:t>1．安全管理机构和配备专兼职安全管理人员不完善，未经培训取证；</w:t>
      </w:r>
    </w:p>
    <w:p w14:paraId="224892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  <w:t>2．企业未编制《生产安全事故应急预案》和《开展安全风险分级管控和隐患排查双重预防机制》；</w:t>
      </w:r>
    </w:p>
    <w:p w14:paraId="5A9B43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  <w:t>3．生产车间部分岗位未设置安全作业规程，安全警示标识不足；</w:t>
      </w:r>
    </w:p>
    <w:p w14:paraId="07DD1F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  <w:t>4．蒸汽间配电箱无当心触电警示标识，离燃气管路的安全间距不够，穿线孔封堵不严；</w:t>
      </w:r>
    </w:p>
    <w:p w14:paraId="5E2E5A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  <w:t>5．部分现场配电箱无“当心触电”安全警示标识，部分标识为红色，不符合警告类安全色要求；</w:t>
      </w:r>
    </w:p>
    <w:p w14:paraId="18066C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  <w:t>6．部分车间未设置标识牌，部分安全出口设置错误，部分安全出口未设置标识；</w:t>
      </w:r>
    </w:p>
    <w:p w14:paraId="17A754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  <w:t>7．消防设施无现场巡检记录卡；</w:t>
      </w:r>
    </w:p>
    <w:p w14:paraId="372FD9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  <w:t>8．压力容器、锅炉附件（安全阀、压力表）无检验合格标识；</w:t>
      </w:r>
    </w:p>
    <w:p w14:paraId="4179B5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  <w:t>9．蒸汽锅炉房部分管道法兰连接处未进行静电跨接；</w:t>
      </w:r>
    </w:p>
    <w:p w14:paraId="4E4C2E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  <w:t>10．蒸汽锅炉房减压阀、球阀等不完善，气管连接法兰未进行静电跨接。</w:t>
      </w:r>
    </w:p>
    <w:p w14:paraId="413CBD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</w:p>
    <w:p w14:paraId="252D96B3">
      <w:pPr>
        <w:pStyle w:val="6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-231140</wp:posOffset>
            </wp:positionH>
            <wp:positionV relativeFrom="paragraph">
              <wp:posOffset>200660</wp:posOffset>
            </wp:positionV>
            <wp:extent cx="1767840" cy="1630680"/>
            <wp:effectExtent l="0" t="0" r="0" b="0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9C37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vertAlign w:val="baseline"/>
          <w:lang w:val="en-US" w:eastAsia="zh-CN"/>
        </w:rPr>
      </w:pPr>
    </w:p>
    <w:p w14:paraId="0A5A35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default" w:ascii="宋体" w:hAnsi="宋体" w:cs="宋体"/>
          <w:b w:val="0"/>
          <w:bCs w:val="0"/>
          <w:sz w:val="28"/>
          <w:szCs w:val="28"/>
          <w:u w:val="none"/>
          <w:vertAlign w:val="baseli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u w:val="none"/>
          <w:vertAlign w:val="baseline"/>
          <w:lang w:val="en-US" w:eastAsia="zh-CN"/>
        </w:rPr>
        <w:t>委托方负责人                       现场检查人员：李晓达</w:t>
      </w:r>
    </w:p>
    <w:p w14:paraId="5D92D8D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line="500" w:lineRule="exact"/>
        <w:ind w:left="0" w:leftChars="0" w:right="0" w:rightChars="0" w:firstLine="5040" w:firstLineChars="18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昭通市鼎安科技有限公司</w:t>
      </w:r>
    </w:p>
    <w:p w14:paraId="43A2F2B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line="500" w:lineRule="exact"/>
        <w:ind w:left="0" w:leftChars="0" w:right="0" w:rightChars="0" w:firstLine="5600" w:firstLineChars="20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日</w:t>
      </w:r>
    </w:p>
    <w:p w14:paraId="160F8B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200"/>
        <w:jc w:val="left"/>
        <w:textAlignment w:val="auto"/>
        <w:rPr>
          <w:rFonts w:hint="default" w:ascii="宋体" w:hAnsi="宋体" w:cs="宋体"/>
          <w:b w:val="0"/>
          <w:bCs w:val="0"/>
          <w:sz w:val="28"/>
          <w:szCs w:val="28"/>
          <w:u w:val="none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japaneseCounting"/>
      <w:lvlText w:val="%1、"/>
      <w:lvlJc w:val="left"/>
      <w:pPr>
        <w:tabs>
          <w:tab w:val="left" w:pos="1438"/>
        </w:tabs>
        <w:ind w:left="1438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558"/>
        </w:tabs>
        <w:ind w:left="1558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78"/>
        </w:tabs>
        <w:ind w:left="1978" w:hanging="420"/>
      </w:pPr>
    </w:lvl>
    <w:lvl w:ilvl="3" w:tentative="0">
      <w:start w:val="1"/>
      <w:numFmt w:val="decimal"/>
      <w:lvlText w:val="%4."/>
      <w:lvlJc w:val="left"/>
      <w:pPr>
        <w:tabs>
          <w:tab w:val="left" w:pos="2398"/>
        </w:tabs>
        <w:ind w:left="239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18"/>
        </w:tabs>
        <w:ind w:left="281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38"/>
        </w:tabs>
        <w:ind w:left="3238" w:hanging="420"/>
      </w:pPr>
    </w:lvl>
    <w:lvl w:ilvl="6" w:tentative="0">
      <w:start w:val="1"/>
      <w:numFmt w:val="decimal"/>
      <w:lvlText w:val="%7."/>
      <w:lvlJc w:val="left"/>
      <w:pPr>
        <w:tabs>
          <w:tab w:val="left" w:pos="3658"/>
        </w:tabs>
        <w:ind w:left="365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78"/>
        </w:tabs>
        <w:ind w:left="407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98"/>
        </w:tabs>
        <w:ind w:left="449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85489"/>
    <w:rsid w:val="04C50C70"/>
    <w:rsid w:val="0A2F5262"/>
    <w:rsid w:val="0B0A682C"/>
    <w:rsid w:val="0B6E1DBA"/>
    <w:rsid w:val="169A7F07"/>
    <w:rsid w:val="183879D7"/>
    <w:rsid w:val="28585489"/>
    <w:rsid w:val="2A9E7B6E"/>
    <w:rsid w:val="2B08148B"/>
    <w:rsid w:val="3BB23479"/>
    <w:rsid w:val="4E5436B0"/>
    <w:rsid w:val="5B060C94"/>
    <w:rsid w:val="5B7025B1"/>
    <w:rsid w:val="5DD76917"/>
    <w:rsid w:val="6A9A31A7"/>
    <w:rsid w:val="6B3E7FD6"/>
    <w:rsid w:val="6C006BC9"/>
    <w:rsid w:val="6E2A4350"/>
    <w:rsid w:val="6EEB2223"/>
    <w:rsid w:val="795F4D1F"/>
    <w:rsid w:val="7A0A5C53"/>
    <w:rsid w:val="7AE8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480" w:lineRule="exact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rPr>
      <w:sz w:val="28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  <w:rPr>
      <w:rFonts w:eastAsia="MingLiU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right="210" w:rightChars="100"/>
      <w:jc w:val="right"/>
    </w:pPr>
    <w:rPr>
      <w:sz w:val="18"/>
      <w:szCs w:val="18"/>
    </w:rPr>
  </w:style>
  <w:style w:type="paragraph" w:styleId="6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7">
    <w:name w:val="Body Text First Indent 2"/>
    <w:basedOn w:val="4"/>
    <w:next w:val="1"/>
    <w:unhideWhenUsed/>
    <w:qFormat/>
    <w:uiPriority w:val="99"/>
    <w:pPr>
      <w:adjustRightInd/>
      <w:spacing w:after="120" w:line="240" w:lineRule="auto"/>
      <w:ind w:left="420" w:leftChars="200" w:firstLine="420" w:firstLineChars="200"/>
      <w:jc w:val="both"/>
      <w:textAlignment w:val="auto"/>
    </w:pPr>
    <w:rPr>
      <w:kern w:val="2"/>
      <w:sz w:val="21"/>
      <w:szCs w:val="2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qFormat/>
    <w:uiPriority w:val="0"/>
    <w:rPr>
      <w:rFonts w:ascii="Times New Roman" w:hAnsi="Times New Roman" w:eastAsia="宋体"/>
      <w:sz w:val="18"/>
    </w:rPr>
  </w:style>
  <w:style w:type="paragraph" w:customStyle="1" w:styleId="12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wmf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1084</Words>
  <Characters>1130</Characters>
  <Lines>0</Lines>
  <Paragraphs>0</Paragraphs>
  <TotalTime>4</TotalTime>
  <ScaleCrop>false</ScaleCrop>
  <LinksUpToDate>false</LinksUpToDate>
  <CharactersWithSpaces>1208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2024-12-06T03:22:00Z</dcterms:created>
  <dc:creator>jjjyyy</dc:creator>
  <cp:lastModifiedBy>柱子</cp:lastModifiedBy>
  <dcterms:modified xsi:type="dcterms:W3CDTF">2026-08-06T08:47:12Z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9F30532520754145904FB4895B549202_11</vt:lpwstr>
  </property>
</Properties>
</file>